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BB14C3"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w:t>
      </w:r>
      <w:r w:rsidR="00405DC4">
        <w:rPr>
          <w:sz w:val="24"/>
        </w:rPr>
        <w:t>6</w:t>
      </w:r>
      <w:r w:rsidRPr="002C1039">
        <w:rPr>
          <w:sz w:val="24"/>
        </w:rPr>
        <w:tab/>
      </w:r>
      <w:r>
        <w:rPr>
          <w:iCs/>
          <w:sz w:val="24"/>
        </w:rPr>
        <w:t>R4-</w:t>
      </w:r>
      <w:r w:rsidR="00F46B4C">
        <w:rPr>
          <w:sz w:val="24"/>
          <w:szCs w:val="24"/>
        </w:rPr>
        <w:t>154371</w:t>
      </w:r>
    </w:p>
    <w:p w14:paraId="2218430D" w14:textId="77777777" w:rsidR="00E50C95" w:rsidRPr="00796F09" w:rsidRDefault="00F860D2" w:rsidP="00E50C95">
      <w:pPr>
        <w:pStyle w:val="Header"/>
        <w:tabs>
          <w:tab w:val="right" w:pos="9630"/>
        </w:tabs>
        <w:spacing w:after="120"/>
        <w:rPr>
          <w:sz w:val="24"/>
        </w:rPr>
      </w:pPr>
      <w:r>
        <w:rPr>
          <w:sz w:val="24"/>
        </w:rPr>
        <w:t>Beijing</w:t>
      </w:r>
      <w:r w:rsidR="00B02DFB">
        <w:rPr>
          <w:sz w:val="24"/>
        </w:rPr>
        <w:t xml:space="preserve">, </w:t>
      </w:r>
      <w:r>
        <w:rPr>
          <w:sz w:val="24"/>
        </w:rPr>
        <w:t>China</w:t>
      </w:r>
      <w:r w:rsidR="00E50C95">
        <w:rPr>
          <w:sz w:val="24"/>
        </w:rPr>
        <w:t xml:space="preserve">, </w:t>
      </w:r>
      <w:r w:rsidR="005E3D21">
        <w:rPr>
          <w:sz w:val="24"/>
        </w:rPr>
        <w:t>2</w:t>
      </w:r>
      <w:r>
        <w:rPr>
          <w:sz w:val="24"/>
        </w:rPr>
        <w:t>4</w:t>
      </w:r>
      <w:r w:rsidR="00332CA3" w:rsidRPr="00332CA3">
        <w:rPr>
          <w:sz w:val="24"/>
          <w:vertAlign w:val="superscript"/>
        </w:rPr>
        <w:t>th</w:t>
      </w:r>
      <w:r w:rsidR="00332CA3">
        <w:rPr>
          <w:sz w:val="24"/>
        </w:rPr>
        <w:t xml:space="preserve"> </w:t>
      </w:r>
      <w:r>
        <w:rPr>
          <w:sz w:val="24"/>
        </w:rPr>
        <w:t>August</w:t>
      </w:r>
      <w:r w:rsidR="00332CA3">
        <w:rPr>
          <w:sz w:val="24"/>
        </w:rPr>
        <w:t xml:space="preserve"> – </w:t>
      </w:r>
      <w:r w:rsidR="005E3D21">
        <w:rPr>
          <w:sz w:val="24"/>
        </w:rPr>
        <w:t>2</w:t>
      </w:r>
      <w:r>
        <w:rPr>
          <w:sz w:val="24"/>
        </w:rPr>
        <w:t>8</w:t>
      </w:r>
      <w:r w:rsidR="00B02DFB" w:rsidRPr="00B02DFB">
        <w:rPr>
          <w:sz w:val="24"/>
          <w:vertAlign w:val="superscript"/>
        </w:rPr>
        <w:t>th</w:t>
      </w:r>
      <w:r w:rsidR="00430016">
        <w:rPr>
          <w:sz w:val="24"/>
        </w:rPr>
        <w:t xml:space="preserve"> </w:t>
      </w:r>
      <w:r>
        <w:rPr>
          <w:sz w:val="24"/>
        </w:rPr>
        <w:t>August</w:t>
      </w:r>
      <w:r w:rsidR="00E50C95">
        <w:rPr>
          <w:sz w:val="24"/>
        </w:rPr>
        <w:t xml:space="preserve"> </w:t>
      </w:r>
      <w:r w:rsidR="00E50C95" w:rsidRPr="00796F09">
        <w:rPr>
          <w:sz w:val="24"/>
        </w:rPr>
        <w:t>201</w:t>
      </w:r>
      <w:r w:rsidR="00B02DFB">
        <w:rPr>
          <w:sz w:val="24"/>
        </w:rPr>
        <w:t>5</w:t>
      </w:r>
    </w:p>
    <w:p w14:paraId="17D104C5" w14:textId="77777777" w:rsidR="00624C4C" w:rsidRPr="009177A5" w:rsidRDefault="00624C4C" w:rsidP="00624C4C">
      <w:pPr>
        <w:spacing w:after="120"/>
        <w:ind w:left="1985" w:hanging="1985"/>
        <w:rPr>
          <w:rFonts w:ascii="Arial" w:hAnsi="Arial" w:cs="Arial"/>
          <w:b/>
          <w:lang w:val="en-US"/>
        </w:rPr>
      </w:pPr>
    </w:p>
    <w:p w14:paraId="48B0B223"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3DAEC7E0"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203E15">
        <w:rPr>
          <w:rFonts w:ascii="Arial" w:hAnsi="Arial" w:cs="Arial"/>
          <w:lang w:val="en-US"/>
        </w:rPr>
        <w:t>On AWS Interoperability</w:t>
      </w:r>
    </w:p>
    <w:p w14:paraId="7536AA13"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B02DFB">
        <w:rPr>
          <w:rFonts w:ascii="Arial" w:hAnsi="Arial" w:cs="Arial"/>
          <w:lang w:val="en-US"/>
        </w:rPr>
        <w:t>.1</w:t>
      </w:r>
    </w:p>
    <w:p w14:paraId="4D27829A"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430016">
        <w:rPr>
          <w:rFonts w:ascii="Arial" w:hAnsi="Arial" w:cs="Arial"/>
          <w:bCs/>
          <w:lang w:val="en-US"/>
        </w:rPr>
        <w:t>Approval</w:t>
      </w:r>
    </w:p>
    <w:p w14:paraId="7FCA36C4" w14:textId="77777777" w:rsidR="00624C4C" w:rsidRPr="009177A5" w:rsidRDefault="00624C4C" w:rsidP="00624C4C">
      <w:pPr>
        <w:pBdr>
          <w:bottom w:val="single" w:sz="4" w:space="1" w:color="auto"/>
        </w:pBdr>
        <w:rPr>
          <w:rFonts w:ascii="Arial" w:hAnsi="Arial" w:cs="Arial"/>
          <w:lang w:val="en-US"/>
        </w:rPr>
      </w:pPr>
    </w:p>
    <w:p w14:paraId="0BA401D4" w14:textId="77777777" w:rsidR="00624C4C" w:rsidRDefault="00624C4C" w:rsidP="00624C4C">
      <w:pPr>
        <w:pStyle w:val="Heading2"/>
        <w:rPr>
          <w:lang w:val="en-US"/>
        </w:rPr>
      </w:pPr>
      <w:r>
        <w:rPr>
          <w:lang w:val="en-US"/>
        </w:rPr>
        <w:t>1</w:t>
      </w:r>
      <w:r>
        <w:rPr>
          <w:lang w:val="en-US"/>
        </w:rPr>
        <w:tab/>
        <w:t>Introduction</w:t>
      </w:r>
    </w:p>
    <w:p w14:paraId="2DE6E8F9" w14:textId="77777777" w:rsidR="00A0731A" w:rsidRDefault="00B02DFB" w:rsidP="00F64536">
      <w:pPr>
        <w:jc w:val="both"/>
        <w:rPr>
          <w:lang w:val="en-US"/>
        </w:rPr>
      </w:pPr>
      <w:r>
        <w:rPr>
          <w:lang w:val="en-US"/>
        </w:rPr>
        <w:t>In RAN #6</w:t>
      </w:r>
      <w:r w:rsidR="005E3D21">
        <w:rPr>
          <w:lang w:val="en-US"/>
        </w:rPr>
        <w:t>7</w:t>
      </w:r>
      <w:r>
        <w:rPr>
          <w:lang w:val="en-US"/>
        </w:rPr>
        <w:t xml:space="preserve">, </w:t>
      </w:r>
      <w:r w:rsidR="005E3D21">
        <w:rPr>
          <w:lang w:val="en-US"/>
        </w:rPr>
        <w:t>a new work item for AWS extension band for LTE was approved [1].  The agreed band plan is:</w:t>
      </w:r>
    </w:p>
    <w:p w14:paraId="0E8472D3" w14:textId="77777777" w:rsidR="005E3D21" w:rsidRDefault="005E3D21" w:rsidP="005E3D21">
      <w:pPr>
        <w:numPr>
          <w:ilvl w:val="0"/>
          <w:numId w:val="38"/>
        </w:numPr>
      </w:pPr>
      <w:r>
        <w:t>70+90 (1710 - 1780 MHz / 2110 - 2200 MHz, fixed duplex with downlink intra-band CA across 90 MHz span)</w:t>
      </w:r>
    </w:p>
    <w:p w14:paraId="0A35BE61" w14:textId="77777777" w:rsidR="005E3D21" w:rsidRDefault="005E3D21" w:rsidP="005E3D21">
      <w:r>
        <w:t>One of the objectives of the WI is to “</w:t>
      </w:r>
      <w:r w:rsidRPr="005E3D21">
        <w:rPr>
          <w:i/>
        </w:rPr>
        <w:t>support interoperability across the complete band (1710-1780/2110-2200MHz) by means of intra-band CA</w:t>
      </w:r>
      <w:r>
        <w:t>”.  It is also captured in the WI objective that:</w:t>
      </w:r>
    </w:p>
    <w:p w14:paraId="4AD54BC8" w14:textId="77777777" w:rsidR="005E3D21" w:rsidRPr="005E3D21" w:rsidRDefault="00795746" w:rsidP="005E3D21">
      <w:pPr>
        <w:rPr>
          <w:i/>
        </w:rPr>
      </w:pPr>
      <w:r>
        <w:rPr>
          <w:i/>
        </w:rPr>
        <w:t>“</w:t>
      </w:r>
      <w:r w:rsidR="005E3D21" w:rsidRPr="005E3D21">
        <w:rPr>
          <w:i/>
        </w:rPr>
        <w:t>Interoperability shall be met by intra band carrier aggregation, and if it is determined that interoperability cannot be met by intra band CA, the means by which interoperability will be achieved shall be specified and the WID shall be modified.</w:t>
      </w:r>
      <w:r>
        <w:rPr>
          <w:i/>
        </w:rPr>
        <w:t>”</w:t>
      </w:r>
    </w:p>
    <w:p w14:paraId="73C90880" w14:textId="77777777" w:rsidR="00EE1B51" w:rsidRDefault="002F7409" w:rsidP="00F64536">
      <w:pPr>
        <w:jc w:val="both"/>
        <w:rPr>
          <w:lang w:val="en-US"/>
        </w:rPr>
      </w:pPr>
      <w:r>
        <w:rPr>
          <w:lang w:val="en-US"/>
        </w:rPr>
        <w:t xml:space="preserve">In this contribution, </w:t>
      </w:r>
      <w:r w:rsidR="00CF67ED">
        <w:rPr>
          <w:lang w:val="en-US"/>
        </w:rPr>
        <w:t xml:space="preserve">we seek to define </w:t>
      </w:r>
      <w:r w:rsidR="00E855FB">
        <w:rPr>
          <w:lang w:val="en-US"/>
        </w:rPr>
        <w:t>goals/objectives</w:t>
      </w:r>
      <w:r w:rsidR="00CF67ED">
        <w:rPr>
          <w:lang w:val="en-US"/>
        </w:rPr>
        <w:t xml:space="preserve"> of interoperability based on prior FCC documentations and propose ways to ensure interoperability objectives are met in the new AWS extension band</w:t>
      </w:r>
      <w:r w:rsidR="00F32608">
        <w:rPr>
          <w:lang w:val="en-US"/>
        </w:rPr>
        <w:t>.</w:t>
      </w:r>
    </w:p>
    <w:p w14:paraId="02581655" w14:textId="77777777" w:rsidR="007D3D8F" w:rsidRDefault="007D3D8F" w:rsidP="00F64536">
      <w:pPr>
        <w:jc w:val="both"/>
        <w:rPr>
          <w:lang w:val="en-US"/>
        </w:rPr>
      </w:pPr>
    </w:p>
    <w:p w14:paraId="085D69DD" w14:textId="77777777" w:rsidR="00624C4C" w:rsidRDefault="00624C4C" w:rsidP="00624C4C">
      <w:pPr>
        <w:pStyle w:val="Heading2"/>
      </w:pPr>
      <w:bookmarkStart w:id="13" w:name="_Toc354623709"/>
      <w:r>
        <w:rPr>
          <w:lang w:val="en-US"/>
        </w:rPr>
        <w:t>2</w:t>
      </w:r>
      <w:r>
        <w:rPr>
          <w:lang w:val="en-US"/>
        </w:rPr>
        <w:tab/>
      </w:r>
      <w:r w:rsidR="00F32608">
        <w:rPr>
          <w:lang w:val="en-US"/>
        </w:rPr>
        <w:t xml:space="preserve">FCC’s </w:t>
      </w:r>
      <w:r w:rsidR="00CF67ED">
        <w:rPr>
          <w:lang w:val="en-US"/>
        </w:rPr>
        <w:t>700 MHz Interoperability NPRM and R&amp;O</w:t>
      </w:r>
    </w:p>
    <w:p w14:paraId="02B2F27F" w14:textId="77777777" w:rsidR="00D11D78" w:rsidRDefault="00E855FB" w:rsidP="008531EB">
      <w:r>
        <w:t>During</w:t>
      </w:r>
      <w:r w:rsidR="00F32608">
        <w:t xml:space="preserve"> its proceeding to promote </w:t>
      </w:r>
      <w:r>
        <w:t xml:space="preserve">interoperability in the 700 MHz band, the FCC has laid out its rationale for interoperability.  For example, </w:t>
      </w:r>
      <w:proofErr w:type="gramStart"/>
      <w:r>
        <w:t>in the 700 MHz interoperability NPRM [</w:t>
      </w:r>
      <w:r w:rsidR="00596DB6">
        <w:t>2</w:t>
      </w:r>
      <w:r>
        <w:t>],</w:t>
      </w:r>
      <w:proofErr w:type="gramEnd"/>
      <w:r>
        <w:t xml:space="preserve"> </w:t>
      </w:r>
      <w:r w:rsidR="006D0091">
        <w:t>objectives of interoperability are</w:t>
      </w:r>
      <w:r w:rsidR="00795746">
        <w:t xml:space="preserve"> stated as</w:t>
      </w:r>
      <w:r>
        <w:t>:</w:t>
      </w:r>
    </w:p>
    <w:p w14:paraId="260DA6E1" w14:textId="77777777" w:rsidR="00E855FB" w:rsidRPr="006D0091" w:rsidRDefault="00795746" w:rsidP="00E855FB">
      <w:pPr>
        <w:rPr>
          <w:i/>
        </w:rPr>
      </w:pPr>
      <w:r>
        <w:rPr>
          <w:i/>
        </w:rPr>
        <w:t>“</w:t>
      </w:r>
      <w:r w:rsidR="00E855FB" w:rsidRPr="006D0091">
        <w:rPr>
          <w:i/>
        </w:rPr>
        <w:t xml:space="preserve">… </w:t>
      </w:r>
      <w:proofErr w:type="gramStart"/>
      <w:r w:rsidR="00E855FB" w:rsidRPr="006D0091">
        <w:rPr>
          <w:i/>
        </w:rPr>
        <w:t>to</w:t>
      </w:r>
      <w:proofErr w:type="gramEnd"/>
      <w:r w:rsidR="00E855FB" w:rsidRPr="006D0091">
        <w:rPr>
          <w:i/>
        </w:rPr>
        <w:t>, among other things, promote the widest possible deployment of communications services, ensure the most efficient use of spectrum, and protect and promote vibrant competition in the marketplace.</w:t>
      </w:r>
      <w:r>
        <w:rPr>
          <w:i/>
        </w:rPr>
        <w:t>”</w:t>
      </w:r>
      <w:r w:rsidR="00E855FB" w:rsidRPr="006D0091">
        <w:rPr>
          <w:i/>
        </w:rPr>
        <w:t xml:space="preserve"> </w:t>
      </w:r>
    </w:p>
    <w:p w14:paraId="74C7CB86" w14:textId="77777777" w:rsidR="006D0091" w:rsidRDefault="006D0091" w:rsidP="00E855FB">
      <w:r>
        <w:t>In the subsequent 700 MHz R&amp;O [</w:t>
      </w:r>
      <w:r w:rsidR="00596DB6">
        <w:t>3</w:t>
      </w:r>
      <w:r>
        <w:t>], the FCC cites specific benefits of interoperability:</w:t>
      </w:r>
    </w:p>
    <w:p w14:paraId="2FD7D010" w14:textId="77777777" w:rsidR="006D0091" w:rsidRPr="006D0091" w:rsidRDefault="00795746" w:rsidP="006D0091">
      <w:pPr>
        <w:rPr>
          <w:i/>
        </w:rPr>
      </w:pPr>
      <w:r>
        <w:rPr>
          <w:i/>
        </w:rPr>
        <w:t>“</w:t>
      </w:r>
      <w:r w:rsidR="006D0091" w:rsidRPr="006D0091">
        <w:rPr>
          <w:i/>
        </w:rPr>
        <w:t>The record demonstrates that the existence of two incompatible band classes is a substantial obstacle to the ability of subscribers to switch their service provider to take advantage of higher quality or lower cost service. Conversely, as the Commission has recognized, interoperability directly promotes “the ability of consumers to switch . . . at low cost.”  Accordingly, by establishing a clear path to interoperability, we promote consumers’ ability to choose the higher quality service at affordable prices and thus increased competition.</w:t>
      </w:r>
      <w:r>
        <w:rPr>
          <w:i/>
        </w:rPr>
        <w:t>”</w:t>
      </w:r>
    </w:p>
    <w:p w14:paraId="0555BD5F" w14:textId="77777777" w:rsidR="006D0091" w:rsidRDefault="006D0091" w:rsidP="006D0091"/>
    <w:p w14:paraId="454EAAE5" w14:textId="77777777" w:rsidR="004A3E83" w:rsidRPr="00341591" w:rsidRDefault="007022EC" w:rsidP="007022EC">
      <w:pPr>
        <w:pStyle w:val="Heading2"/>
        <w:ind w:left="0" w:firstLine="0"/>
        <w:rPr>
          <w:color w:val="000000"/>
        </w:rPr>
      </w:pPr>
      <w:r>
        <w:t xml:space="preserve">3 </w:t>
      </w:r>
      <w:r>
        <w:tab/>
      </w:r>
      <w:r>
        <w:tab/>
      </w:r>
      <w:r>
        <w:tab/>
      </w:r>
      <w:r>
        <w:tab/>
      </w:r>
      <w:r w:rsidR="00BC1A1A">
        <w:rPr>
          <w:color w:val="000000"/>
        </w:rPr>
        <w:t>Supporting Interoperability in the AWS Extension Band</w:t>
      </w:r>
    </w:p>
    <w:p w14:paraId="75FEF4AC" w14:textId="77777777" w:rsidR="00260844" w:rsidRPr="00A825E0" w:rsidRDefault="00305A7B" w:rsidP="00ED24E8">
      <w:pPr>
        <w:pStyle w:val="MediumGrid21"/>
      </w:pPr>
      <w:r>
        <w:t>It is clear from the above that the fundamental premise of interoperability is a single band class covering all the frequencies in the band.</w:t>
      </w:r>
      <w:r w:rsidR="00AA0CCB">
        <w:t xml:space="preserve">  </w:t>
      </w:r>
      <w:r w:rsidR="001F0F88">
        <w:rPr>
          <w:lang w:val="en-US"/>
        </w:rPr>
        <w:t>As cited above, interoperability is to promote</w:t>
      </w:r>
      <w:r w:rsidR="00135F33">
        <w:rPr>
          <w:lang w:val="en-US"/>
        </w:rPr>
        <w:t xml:space="preserve"> “</w:t>
      </w:r>
      <w:r w:rsidR="00E74482">
        <w:rPr>
          <w:lang w:val="en-US"/>
        </w:rPr>
        <w:t>the most efficient use of the spectrum” and “</w:t>
      </w:r>
      <w:r w:rsidR="001F0F88">
        <w:rPr>
          <w:lang w:val="en-US"/>
        </w:rPr>
        <w:t>the ability of subscribers to switch their service provider</w:t>
      </w:r>
      <w:r w:rsidR="008713D6">
        <w:rPr>
          <w:lang w:val="en-US"/>
        </w:rPr>
        <w:t>”</w:t>
      </w:r>
      <w:r w:rsidR="001F0F88">
        <w:rPr>
          <w:lang w:val="en-US"/>
        </w:rPr>
        <w:t xml:space="preserve"> by requiring UEs to support the band in a complete fashion.  </w:t>
      </w:r>
      <w:r w:rsidR="00D33969">
        <w:rPr>
          <w:lang w:val="en-US"/>
        </w:rPr>
        <w:t xml:space="preserve">Currently, the AWS extension band plan consists of 70 MHz of uplink spectrum (1710-1780 MHz) and </w:t>
      </w:r>
      <w:r w:rsidR="00BF6D16">
        <w:rPr>
          <w:lang w:val="en-US"/>
        </w:rPr>
        <w:t>9</w:t>
      </w:r>
      <w:r w:rsidR="00D33969">
        <w:rPr>
          <w:lang w:val="en-US"/>
        </w:rPr>
        <w:t>0 MHz of down</w:t>
      </w:r>
      <w:r w:rsidR="00C35498">
        <w:rPr>
          <w:lang w:val="en-US"/>
        </w:rPr>
        <w:t>link spectrum (2110-2200 MHz); it is an asymmetric band plan that requires features to ensure that the band can be effectively utilized in its entirety.  During the study item, two features have been identified which promote efficient utilization of the band:</w:t>
      </w:r>
    </w:p>
    <w:p w14:paraId="50FD5063" w14:textId="77777777" w:rsidR="00C35498" w:rsidRDefault="00C35498" w:rsidP="00ED24E8">
      <w:pPr>
        <w:pStyle w:val="MediumGrid21"/>
        <w:rPr>
          <w:lang w:val="en-US"/>
        </w:rPr>
      </w:pPr>
    </w:p>
    <w:p w14:paraId="2101C101" w14:textId="77777777" w:rsidR="00C35498" w:rsidRDefault="00973974" w:rsidP="00C35498">
      <w:pPr>
        <w:pStyle w:val="MediumGrid21"/>
        <w:numPr>
          <w:ilvl w:val="0"/>
          <w:numId w:val="38"/>
        </w:numPr>
        <w:rPr>
          <w:lang w:val="en-US"/>
        </w:rPr>
      </w:pPr>
      <w:r>
        <w:rPr>
          <w:lang w:val="en-US"/>
        </w:rPr>
        <w:t>Additional duplex</w:t>
      </w:r>
      <w:r w:rsidR="00C35498">
        <w:rPr>
          <w:lang w:val="en-US"/>
        </w:rPr>
        <w:t xml:space="preserve"> spacing(s) to allow primary carrier allocation </w:t>
      </w:r>
      <w:r>
        <w:rPr>
          <w:lang w:val="en-US"/>
        </w:rPr>
        <w:t>anywhere within the 90 MHz downlink span</w:t>
      </w:r>
    </w:p>
    <w:p w14:paraId="5B561170" w14:textId="77777777" w:rsidR="00973974" w:rsidRDefault="00973974" w:rsidP="00C35498">
      <w:pPr>
        <w:pStyle w:val="MediumGrid21"/>
        <w:numPr>
          <w:ilvl w:val="0"/>
          <w:numId w:val="38"/>
        </w:numPr>
        <w:rPr>
          <w:lang w:val="en-US"/>
        </w:rPr>
      </w:pPr>
      <w:r>
        <w:rPr>
          <w:lang w:val="en-US"/>
        </w:rPr>
        <w:t>Fixed duplex spacing with intra-band carrier aggregation</w:t>
      </w:r>
    </w:p>
    <w:p w14:paraId="0FE7D9DF" w14:textId="77777777" w:rsidR="00973974" w:rsidRDefault="00973974" w:rsidP="00973974">
      <w:pPr>
        <w:pStyle w:val="MediumGrid21"/>
        <w:rPr>
          <w:lang w:val="en-US"/>
        </w:rPr>
      </w:pPr>
    </w:p>
    <w:p w14:paraId="4C9DEDDE" w14:textId="77777777" w:rsidR="00973974" w:rsidRDefault="00973974" w:rsidP="00973974">
      <w:pPr>
        <w:pStyle w:val="MediumGrid21"/>
        <w:rPr>
          <w:lang w:val="en-US"/>
        </w:rPr>
      </w:pPr>
      <w:r>
        <w:rPr>
          <w:lang w:val="en-US"/>
        </w:rPr>
        <w:t>Additional duplex spacing ensures full and efficient utilization of spectrum by allowing fl</w:t>
      </w:r>
      <w:r w:rsidR="003668B5">
        <w:rPr>
          <w:lang w:val="en-US"/>
        </w:rPr>
        <w:t>exible DL-UL pairing and allow</w:t>
      </w:r>
      <w:r w:rsidR="00BF6D16">
        <w:rPr>
          <w:lang w:val="en-US"/>
        </w:rPr>
        <w:t>s</w:t>
      </w:r>
      <w:r w:rsidR="003668B5">
        <w:rPr>
          <w:lang w:val="en-US"/>
        </w:rPr>
        <w:t xml:space="preserve"> a primary DL carrier </w:t>
      </w:r>
      <w:r w:rsidR="00BF6D16">
        <w:rPr>
          <w:lang w:val="en-US"/>
        </w:rPr>
        <w:t>(</w:t>
      </w:r>
      <w:proofErr w:type="spellStart"/>
      <w:r w:rsidR="00BF6D16">
        <w:rPr>
          <w:lang w:val="en-US"/>
        </w:rPr>
        <w:t>PCell</w:t>
      </w:r>
      <w:proofErr w:type="spellEnd"/>
      <w:r w:rsidR="00BF6D16">
        <w:rPr>
          <w:lang w:val="en-US"/>
        </w:rPr>
        <w:t xml:space="preserve">) to </w:t>
      </w:r>
      <w:r w:rsidR="003668B5">
        <w:rPr>
          <w:lang w:val="en-US"/>
        </w:rPr>
        <w:t xml:space="preserve">be placed anywhere within the full 90 MHz span.  Fixed duplex spacing with </w:t>
      </w:r>
      <w:r w:rsidR="003668B5">
        <w:rPr>
          <w:lang w:val="en-US"/>
        </w:rPr>
        <w:lastRenderedPageBreak/>
        <w:t xml:space="preserve">intra-band carrier aggregation </w:t>
      </w:r>
      <w:r w:rsidR="008B2BED">
        <w:rPr>
          <w:lang w:val="en-US"/>
        </w:rPr>
        <w:t xml:space="preserve">allows the unpaired portion of the DL spectrum to be fully utilized as </w:t>
      </w:r>
      <w:proofErr w:type="spellStart"/>
      <w:r w:rsidR="008B2BED">
        <w:rPr>
          <w:lang w:val="en-US"/>
        </w:rPr>
        <w:t>SCell</w:t>
      </w:r>
      <w:proofErr w:type="spellEnd"/>
      <w:r w:rsidR="008B2BED">
        <w:rPr>
          <w:lang w:val="en-US"/>
        </w:rPr>
        <w:t xml:space="preserve"> in intra-band carrier aggregation configurations.  </w:t>
      </w:r>
      <w:r w:rsidR="00BF48E6">
        <w:rPr>
          <w:lang w:val="en-US"/>
        </w:rPr>
        <w:t xml:space="preserve">RAN4 agreed </w:t>
      </w:r>
      <w:r w:rsidR="00BF6D16">
        <w:rPr>
          <w:lang w:val="en-US"/>
        </w:rPr>
        <w:t xml:space="preserve">and RAN approved </w:t>
      </w:r>
      <w:r w:rsidR="00BF48E6">
        <w:rPr>
          <w:lang w:val="en-US"/>
        </w:rPr>
        <w:t>on an asymmetric band plan with a fixed duplex spacing of 400 MHz with the intension of supporting interoperability by means of intra-band CA</w:t>
      </w:r>
      <w:r w:rsidR="008713D6">
        <w:rPr>
          <w:lang w:val="en-US"/>
        </w:rPr>
        <w:t xml:space="preserve"> [</w:t>
      </w:r>
      <w:r w:rsidR="00EC5B80">
        <w:rPr>
          <w:lang w:val="en-US"/>
        </w:rPr>
        <w:t>5</w:t>
      </w:r>
      <w:r w:rsidR="008713D6">
        <w:rPr>
          <w:lang w:val="en-US"/>
        </w:rPr>
        <w:t>]</w:t>
      </w:r>
      <w:r w:rsidR="00BF48E6">
        <w:rPr>
          <w:lang w:val="en-US"/>
        </w:rPr>
        <w:t>.</w:t>
      </w:r>
    </w:p>
    <w:p w14:paraId="61BB3DC8" w14:textId="77777777" w:rsidR="00BF48E6" w:rsidRDefault="00BF48E6" w:rsidP="00973974">
      <w:pPr>
        <w:pStyle w:val="MediumGrid21"/>
        <w:rPr>
          <w:lang w:val="en-US"/>
        </w:rPr>
      </w:pPr>
    </w:p>
    <w:p w14:paraId="673DFD37" w14:textId="77777777" w:rsidR="00BF48E6" w:rsidRDefault="00BF48E6" w:rsidP="00973974">
      <w:pPr>
        <w:pStyle w:val="MediumGrid21"/>
        <w:rPr>
          <w:lang w:val="en-US"/>
        </w:rPr>
      </w:pPr>
      <w:r>
        <w:rPr>
          <w:lang w:val="en-US"/>
        </w:rPr>
        <w:t>However, CA is an optional UE feature</w:t>
      </w:r>
      <w:r w:rsidR="008713D6">
        <w:rPr>
          <w:lang w:val="en-US"/>
        </w:rPr>
        <w:t xml:space="preserve"> in the current specifications</w:t>
      </w:r>
      <w:r>
        <w:rPr>
          <w:lang w:val="en-US"/>
        </w:rPr>
        <w:t>.  Under the current agreed band plan with a fixed duplex spacing, the only way the unpaired portion of the DL spectrum can be utilized is via carrier aggregation.  Therefore, supporting interoperability by means of intra-band CA under the current specifications has the following issues:</w:t>
      </w:r>
    </w:p>
    <w:p w14:paraId="502825D5" w14:textId="77777777" w:rsidR="00BF48E6" w:rsidRDefault="00BF48E6" w:rsidP="00973974">
      <w:pPr>
        <w:pStyle w:val="MediumGrid21"/>
        <w:rPr>
          <w:lang w:val="en-US"/>
        </w:rPr>
      </w:pPr>
    </w:p>
    <w:p w14:paraId="2F404A13" w14:textId="77777777" w:rsidR="00BF48E6" w:rsidRDefault="00BF48E6" w:rsidP="00BF48E6">
      <w:pPr>
        <w:pStyle w:val="MediumGrid21"/>
        <w:numPr>
          <w:ilvl w:val="0"/>
          <w:numId w:val="39"/>
        </w:numPr>
        <w:rPr>
          <w:lang w:val="en-US"/>
        </w:rPr>
      </w:pPr>
      <w:r>
        <w:rPr>
          <w:lang w:val="en-US"/>
        </w:rPr>
        <w:t xml:space="preserve">For non-CA capable UEs supporting the band, </w:t>
      </w:r>
      <w:r w:rsidR="00E21811">
        <w:rPr>
          <w:lang w:val="en-US"/>
        </w:rPr>
        <w:t>the unpaired DL spectrum cannot be utilized</w:t>
      </w:r>
      <w:r w:rsidR="008713D6">
        <w:rPr>
          <w:lang w:val="en-US"/>
        </w:rPr>
        <w:t xml:space="preserve"> and will be left unused</w:t>
      </w:r>
    </w:p>
    <w:p w14:paraId="506691BE" w14:textId="77777777" w:rsidR="00E21811" w:rsidRDefault="00E21811" w:rsidP="00E21811">
      <w:pPr>
        <w:pStyle w:val="MediumGrid21"/>
        <w:numPr>
          <w:ilvl w:val="0"/>
          <w:numId w:val="39"/>
        </w:numPr>
        <w:rPr>
          <w:lang w:val="en-US"/>
        </w:rPr>
      </w:pPr>
      <w:r>
        <w:rPr>
          <w:lang w:val="en-US"/>
        </w:rPr>
        <w:t xml:space="preserve">Even for CA capable UEs supporting the band, intra-band CA </w:t>
      </w:r>
      <w:r w:rsidR="008713D6">
        <w:rPr>
          <w:lang w:val="en-US"/>
        </w:rPr>
        <w:t xml:space="preserve">for the band </w:t>
      </w:r>
      <w:r>
        <w:rPr>
          <w:lang w:val="en-US"/>
        </w:rPr>
        <w:t>may not be supported</w:t>
      </w:r>
      <w:r w:rsidR="008713D6">
        <w:rPr>
          <w:lang w:val="en-US"/>
        </w:rPr>
        <w:t xml:space="preserve"> </w:t>
      </w:r>
    </w:p>
    <w:p w14:paraId="09F213DF" w14:textId="77777777" w:rsidR="00E21811" w:rsidRDefault="00E21811" w:rsidP="00E21811">
      <w:pPr>
        <w:pStyle w:val="MediumGrid21"/>
        <w:rPr>
          <w:lang w:val="en-US"/>
        </w:rPr>
      </w:pPr>
    </w:p>
    <w:p w14:paraId="26F1106E" w14:textId="77777777" w:rsidR="00E21811" w:rsidRPr="00E21811" w:rsidRDefault="00E21811" w:rsidP="00E21811">
      <w:pPr>
        <w:pStyle w:val="MediumGrid21"/>
        <w:rPr>
          <w:lang w:val="en-US"/>
        </w:rPr>
      </w:pPr>
      <w:r>
        <w:rPr>
          <w:lang w:val="en-US"/>
        </w:rPr>
        <w:t xml:space="preserve">Therefore, </w:t>
      </w:r>
      <w:r w:rsidR="00E276F5">
        <w:rPr>
          <w:lang w:val="en-US"/>
        </w:rPr>
        <w:t>one</w:t>
      </w:r>
      <w:r>
        <w:rPr>
          <w:lang w:val="en-US"/>
        </w:rPr>
        <w:t xml:space="preserve"> broad implication of supporting interoperability by means of intra-band CA, which is an optional feature, is that there will be a segment of UEs</w:t>
      </w:r>
      <w:r w:rsidR="008713D6">
        <w:rPr>
          <w:lang w:val="en-US"/>
        </w:rPr>
        <w:t>, potentially significant,</w:t>
      </w:r>
      <w:r>
        <w:rPr>
          <w:lang w:val="en-US"/>
        </w:rPr>
        <w:t xml:space="preserve"> in the marketplace that will not be able to utilize the unpaired portion of the spectrum in t</w:t>
      </w:r>
      <w:r w:rsidR="00E276F5">
        <w:rPr>
          <w:lang w:val="en-US"/>
        </w:rPr>
        <w:t xml:space="preserve">he band.  This very presence of differing UEs in terms of their capabilities in utilizing the unpaired spectrum in the band creates a problem </w:t>
      </w:r>
      <w:r w:rsidR="008713D6">
        <w:rPr>
          <w:lang w:val="en-US"/>
        </w:rPr>
        <w:t>in</w:t>
      </w:r>
      <w:r w:rsidR="00E276F5">
        <w:rPr>
          <w:lang w:val="en-US"/>
        </w:rPr>
        <w:t xml:space="preserve"> achieving “the most efficient use of spectrum.”  </w:t>
      </w:r>
      <w:r w:rsidR="004C1E9B">
        <w:rPr>
          <w:lang w:val="en-US"/>
        </w:rPr>
        <w:t xml:space="preserve">Also, </w:t>
      </w:r>
      <w:r w:rsidR="00BF6D16">
        <w:rPr>
          <w:lang w:val="en-US"/>
        </w:rPr>
        <w:t>end users</w:t>
      </w:r>
      <w:r w:rsidR="004C1E9B">
        <w:rPr>
          <w:lang w:val="en-US"/>
        </w:rPr>
        <w:t xml:space="preserve"> are not always guaranteed to </w:t>
      </w:r>
      <w:r w:rsidR="00301213">
        <w:rPr>
          <w:lang w:val="en-US"/>
        </w:rPr>
        <w:t>take advantage of the full utilization of spectrum if there are UEs</w:t>
      </w:r>
      <w:r w:rsidR="008713D6">
        <w:rPr>
          <w:lang w:val="en-US"/>
        </w:rPr>
        <w:t xml:space="preserve"> with differing CA capabilities, when they are motivated to</w:t>
      </w:r>
      <w:r w:rsidR="009C4632">
        <w:rPr>
          <w:lang w:val="en-US"/>
        </w:rPr>
        <w:t xml:space="preserve"> choose “the higher quality service” (e.g. higher </w:t>
      </w:r>
      <w:r w:rsidR="00BF6D16">
        <w:rPr>
          <w:lang w:val="en-US"/>
        </w:rPr>
        <w:t xml:space="preserve">peak </w:t>
      </w:r>
      <w:r w:rsidR="009C4632">
        <w:rPr>
          <w:lang w:val="en-US"/>
        </w:rPr>
        <w:t>DL speed).</w:t>
      </w:r>
      <w:r w:rsidR="00E74482">
        <w:rPr>
          <w:lang w:val="en-US"/>
        </w:rPr>
        <w:t xml:space="preserve">  </w:t>
      </w:r>
      <w:r w:rsidR="00453841">
        <w:rPr>
          <w:lang w:val="en-US"/>
        </w:rPr>
        <w:t xml:space="preserve">However, more importantly, </w:t>
      </w:r>
      <w:r w:rsidR="0033579C">
        <w:rPr>
          <w:lang w:val="en-US"/>
        </w:rPr>
        <w:t xml:space="preserve">supporting interoperability with </w:t>
      </w:r>
      <w:r w:rsidR="004E747E">
        <w:rPr>
          <w:lang w:val="en-US"/>
        </w:rPr>
        <w:t>“</w:t>
      </w:r>
      <w:r w:rsidR="0033579C">
        <w:rPr>
          <w:lang w:val="en-US"/>
        </w:rPr>
        <w:t>optional</w:t>
      </w:r>
      <w:r w:rsidR="004E747E">
        <w:rPr>
          <w:lang w:val="en-US"/>
        </w:rPr>
        <w:t>”</w:t>
      </w:r>
      <w:r w:rsidR="0033579C">
        <w:rPr>
          <w:lang w:val="en-US"/>
        </w:rPr>
        <w:t xml:space="preserve"> feature(s) can </w:t>
      </w:r>
      <w:r w:rsidR="00643D70">
        <w:rPr>
          <w:lang w:val="en-US"/>
        </w:rPr>
        <w:t xml:space="preserve">ultimately </w:t>
      </w:r>
      <w:r w:rsidR="0033579C">
        <w:rPr>
          <w:lang w:val="en-US"/>
        </w:rPr>
        <w:t>hamper consumers’ ability to choose the service(s) they want.</w:t>
      </w:r>
      <w:r w:rsidR="00453841">
        <w:rPr>
          <w:lang w:val="en-US"/>
        </w:rPr>
        <w:t xml:space="preserve"> </w:t>
      </w:r>
    </w:p>
    <w:p w14:paraId="09100B34" w14:textId="77777777" w:rsidR="00346D8A" w:rsidRDefault="00346D8A" w:rsidP="00973974">
      <w:pPr>
        <w:pStyle w:val="MediumGrid21"/>
        <w:rPr>
          <w:lang w:val="en-US"/>
        </w:rPr>
      </w:pPr>
    </w:p>
    <w:p w14:paraId="478A890E" w14:textId="77777777" w:rsidR="007457C2" w:rsidRDefault="00BF6D16" w:rsidP="00973974">
      <w:pPr>
        <w:pStyle w:val="MediumGrid21"/>
        <w:rPr>
          <w:lang w:val="en-US"/>
        </w:rPr>
      </w:pPr>
      <w:r>
        <w:rPr>
          <w:lang w:val="en-US"/>
        </w:rPr>
        <w:t>In order to address the cited deficiency, it has been proposed [4] to make 2DL/1UL downlink intra-band carrier aggregation support mandatory for UEs supporting</w:t>
      </w:r>
      <w:r w:rsidR="00AA6F9D">
        <w:rPr>
          <w:lang w:val="en-US"/>
        </w:rPr>
        <w:t xml:space="preserve"> Band 66; however, the proposal was not agreed.  Given the current band arrangement with a fixed duplex spacing, mandating intra-band CA for UEs seems to be the only option for fulfilling interoperability and also consistent with the WI objective of “</w:t>
      </w:r>
      <w:r w:rsidR="00AA6F9D" w:rsidRPr="005E3D21">
        <w:rPr>
          <w:i/>
        </w:rPr>
        <w:t>support interoperability across the complete band (1710-1780/2110-2200MHz) by means of intra-band CA</w:t>
      </w:r>
      <w:r w:rsidR="00AA6F9D">
        <w:t xml:space="preserve">”.  </w:t>
      </w:r>
    </w:p>
    <w:p w14:paraId="28B8BCA6" w14:textId="77777777" w:rsidR="007457C2" w:rsidRDefault="007457C2" w:rsidP="007457C2">
      <w:pPr>
        <w:pStyle w:val="MediumGrid21"/>
        <w:rPr>
          <w:b/>
          <w:i/>
          <w:lang w:val="en-US"/>
        </w:rPr>
      </w:pPr>
    </w:p>
    <w:p w14:paraId="5229E89F" w14:textId="77777777" w:rsidR="007457C2" w:rsidRDefault="007457C2" w:rsidP="007457C2">
      <w:pPr>
        <w:pStyle w:val="MediumGrid21"/>
        <w:rPr>
          <w:b/>
          <w:i/>
          <w:lang w:val="en-US"/>
        </w:rPr>
      </w:pPr>
      <w:r w:rsidRPr="00AC0509">
        <w:rPr>
          <w:b/>
          <w:i/>
          <w:lang w:val="en-US"/>
        </w:rPr>
        <w:t xml:space="preserve">Proposal:  </w:t>
      </w:r>
      <w:r>
        <w:rPr>
          <w:b/>
          <w:i/>
          <w:lang w:val="en-US"/>
        </w:rPr>
        <w:t>Mandate all</w:t>
      </w:r>
      <w:r w:rsidR="00E74482">
        <w:rPr>
          <w:b/>
          <w:i/>
          <w:lang w:val="en-US"/>
        </w:rPr>
        <w:t xml:space="preserve"> </w:t>
      </w:r>
      <w:r>
        <w:rPr>
          <w:b/>
          <w:i/>
          <w:lang w:val="en-US"/>
        </w:rPr>
        <w:t xml:space="preserve">UEs supporting </w:t>
      </w:r>
      <w:r w:rsidR="00A825E0">
        <w:rPr>
          <w:b/>
          <w:i/>
          <w:lang w:val="en-US"/>
        </w:rPr>
        <w:t>Band 66</w:t>
      </w:r>
      <w:r>
        <w:rPr>
          <w:b/>
          <w:i/>
          <w:lang w:val="en-US"/>
        </w:rPr>
        <w:t xml:space="preserve"> to support</w:t>
      </w:r>
      <w:r w:rsidR="000E1C03">
        <w:rPr>
          <w:b/>
          <w:i/>
          <w:lang w:val="en-US"/>
        </w:rPr>
        <w:t xml:space="preserve"> 2DL/1UL</w:t>
      </w:r>
      <w:r>
        <w:rPr>
          <w:b/>
          <w:i/>
          <w:lang w:val="en-US"/>
        </w:rPr>
        <w:t xml:space="preserve"> intra-band CA</w:t>
      </w:r>
    </w:p>
    <w:p w14:paraId="2CCDFE12" w14:textId="77777777" w:rsidR="004C1E9B" w:rsidRDefault="004C1E9B" w:rsidP="00973974">
      <w:pPr>
        <w:pStyle w:val="MediumGrid21"/>
        <w:rPr>
          <w:lang w:val="en-US"/>
        </w:rPr>
      </w:pPr>
    </w:p>
    <w:p w14:paraId="7598B800" w14:textId="77777777" w:rsidR="004C1E9B" w:rsidRPr="00341591" w:rsidRDefault="004C1E9B" w:rsidP="004C1E9B">
      <w:pPr>
        <w:pStyle w:val="Heading2"/>
        <w:ind w:left="0" w:firstLine="0"/>
        <w:rPr>
          <w:color w:val="000000"/>
        </w:rPr>
      </w:pPr>
      <w:r>
        <w:t xml:space="preserve">4 </w:t>
      </w:r>
      <w:r>
        <w:tab/>
      </w:r>
      <w:r>
        <w:tab/>
      </w:r>
      <w:r>
        <w:tab/>
      </w:r>
      <w:r>
        <w:tab/>
      </w:r>
      <w:r>
        <w:rPr>
          <w:color w:val="000000"/>
        </w:rPr>
        <w:t>Conclusions and Proposals</w:t>
      </w:r>
    </w:p>
    <w:p w14:paraId="7ED7D26E" w14:textId="77777777" w:rsidR="004C1E9B" w:rsidRDefault="00620E2C" w:rsidP="00973974">
      <w:pPr>
        <w:pStyle w:val="MediumGrid21"/>
        <w:rPr>
          <w:lang w:val="en-US"/>
        </w:rPr>
      </w:pPr>
      <w:r>
        <w:rPr>
          <w:lang w:val="en-US"/>
        </w:rPr>
        <w:t xml:space="preserve">The current Band 66 </w:t>
      </w:r>
      <w:proofErr w:type="gramStart"/>
      <w:r>
        <w:rPr>
          <w:lang w:val="en-US"/>
        </w:rPr>
        <w:t>arrangement</w:t>
      </w:r>
      <w:proofErr w:type="gramEnd"/>
      <w:r>
        <w:rPr>
          <w:lang w:val="en-US"/>
        </w:rPr>
        <w:t xml:space="preserve"> with a fixed duplexing necessitates intra-band CA in order to </w:t>
      </w:r>
      <w:r w:rsidR="00B72233">
        <w:rPr>
          <w:lang w:val="en-US"/>
        </w:rPr>
        <w:t>utilize the full 90 MHz of downlink spectrum.</w:t>
      </w:r>
      <w:r w:rsidR="0033579C">
        <w:rPr>
          <w:lang w:val="en-US"/>
        </w:rPr>
        <w:t xml:space="preserve">  Therefore, it is proposed that</w:t>
      </w:r>
      <w:r w:rsidR="00B72233">
        <w:rPr>
          <w:lang w:val="en-US"/>
        </w:rPr>
        <w:t xml:space="preserve">  </w:t>
      </w:r>
    </w:p>
    <w:p w14:paraId="38B0BEAC" w14:textId="77777777" w:rsidR="00B72233" w:rsidRDefault="00B72233" w:rsidP="00973974">
      <w:pPr>
        <w:pStyle w:val="MediumGrid21"/>
        <w:rPr>
          <w:lang w:val="en-US"/>
        </w:rPr>
      </w:pPr>
    </w:p>
    <w:p w14:paraId="6F8F97EF" w14:textId="77777777" w:rsidR="00B72233" w:rsidRDefault="00B72233" w:rsidP="00B72233">
      <w:pPr>
        <w:pStyle w:val="MediumGrid21"/>
        <w:rPr>
          <w:b/>
          <w:i/>
          <w:lang w:val="en-US"/>
        </w:rPr>
      </w:pPr>
      <w:r w:rsidRPr="00AC0509">
        <w:rPr>
          <w:b/>
          <w:i/>
          <w:lang w:val="en-US"/>
        </w:rPr>
        <w:t>Proposal</w:t>
      </w:r>
      <w:r>
        <w:rPr>
          <w:b/>
          <w:i/>
          <w:lang w:val="en-US"/>
        </w:rPr>
        <w:t xml:space="preserve"> #1</w:t>
      </w:r>
      <w:r w:rsidRPr="00AC0509">
        <w:rPr>
          <w:b/>
          <w:i/>
          <w:lang w:val="en-US"/>
        </w:rPr>
        <w:t xml:space="preserve">:  </w:t>
      </w:r>
      <w:r>
        <w:rPr>
          <w:b/>
          <w:i/>
          <w:lang w:val="en-US"/>
        </w:rPr>
        <w:t xml:space="preserve">Mandate all UEs supporting Band 66 to support </w:t>
      </w:r>
      <w:r w:rsidR="000E1C03">
        <w:rPr>
          <w:b/>
          <w:i/>
          <w:lang w:val="en-US"/>
        </w:rPr>
        <w:t>2Dl/1UL intra-band</w:t>
      </w:r>
      <w:r>
        <w:rPr>
          <w:b/>
          <w:i/>
          <w:lang w:val="en-US"/>
        </w:rPr>
        <w:t xml:space="preserve"> CA</w:t>
      </w:r>
      <w:r w:rsidR="00813D18">
        <w:rPr>
          <w:b/>
          <w:i/>
          <w:lang w:val="en-US"/>
        </w:rPr>
        <w:t xml:space="preserve"> </w:t>
      </w:r>
    </w:p>
    <w:p w14:paraId="72C4A8A7" w14:textId="77777777" w:rsidR="00B72233" w:rsidRPr="00260844" w:rsidRDefault="00B72233" w:rsidP="00973974">
      <w:pPr>
        <w:pStyle w:val="MediumGrid21"/>
        <w:rPr>
          <w:lang w:val="en-US"/>
        </w:rPr>
      </w:pPr>
    </w:p>
    <w:p w14:paraId="7D87002E" w14:textId="77777777" w:rsidR="00AC0509" w:rsidRDefault="00B72233" w:rsidP="00ED24E8">
      <w:pPr>
        <w:pStyle w:val="MediumGrid21"/>
        <w:rPr>
          <w:lang w:val="en-US"/>
        </w:rPr>
      </w:pPr>
      <w:r>
        <w:rPr>
          <w:lang w:val="en-US"/>
        </w:rPr>
        <w:t>If Proposal #1 cannot be agreed, it is deemed that interoperability cannot be met by intra-band CA.  Therefore, per the objectives of the WI, RAN4 needs to specify other mean(s) to achieve interoperability [1].</w:t>
      </w:r>
    </w:p>
    <w:p w14:paraId="3F1EEC1B" w14:textId="77777777" w:rsidR="00E74482" w:rsidRDefault="00E74482" w:rsidP="00ED24E8">
      <w:pPr>
        <w:pStyle w:val="MediumGrid21"/>
        <w:rPr>
          <w:lang w:val="en-US"/>
        </w:rPr>
      </w:pPr>
    </w:p>
    <w:p w14:paraId="2054AA57" w14:textId="77777777" w:rsidR="00E74482" w:rsidRDefault="00E74482" w:rsidP="00ED24E8">
      <w:pPr>
        <w:pStyle w:val="MediumGrid21"/>
        <w:rPr>
          <w:lang w:val="en-US"/>
        </w:rPr>
      </w:pPr>
      <w:r w:rsidRPr="00AC0509">
        <w:rPr>
          <w:b/>
          <w:i/>
          <w:lang w:val="en-US"/>
        </w:rPr>
        <w:t>Proposal</w:t>
      </w:r>
      <w:r>
        <w:rPr>
          <w:b/>
          <w:i/>
          <w:lang w:val="en-US"/>
        </w:rPr>
        <w:t xml:space="preserve"> #2</w:t>
      </w:r>
      <w:r w:rsidRPr="00AC0509">
        <w:rPr>
          <w:b/>
          <w:i/>
          <w:lang w:val="en-US"/>
        </w:rPr>
        <w:t xml:space="preserve">:  </w:t>
      </w:r>
      <w:r>
        <w:rPr>
          <w:b/>
          <w:i/>
          <w:lang w:val="en-US"/>
        </w:rPr>
        <w:t xml:space="preserve">RAN4 to study and propose other mean(s) to achieve interoperability </w:t>
      </w:r>
      <w:bookmarkStart w:id="14" w:name="_GoBack"/>
      <w:bookmarkEnd w:id="14"/>
    </w:p>
    <w:p w14:paraId="6B179FF9" w14:textId="77777777" w:rsidR="00B72233" w:rsidRPr="00B72233" w:rsidRDefault="00B72233" w:rsidP="00ED24E8">
      <w:pPr>
        <w:pStyle w:val="MediumGrid21"/>
        <w:rPr>
          <w:lang w:val="en-US"/>
        </w:rPr>
      </w:pPr>
    </w:p>
    <w:p w14:paraId="04610188" w14:textId="77777777" w:rsidR="008735D1" w:rsidRPr="00291B8E" w:rsidRDefault="008735D1" w:rsidP="008735D1">
      <w:pPr>
        <w:pStyle w:val="Heading2"/>
      </w:pPr>
      <w:r w:rsidRPr="00291B8E">
        <w:t>References</w:t>
      </w:r>
    </w:p>
    <w:p w14:paraId="18846B71" w14:textId="77777777" w:rsidR="006251BB" w:rsidRPr="006251BB" w:rsidRDefault="006251BB" w:rsidP="00596DB6">
      <w:pPr>
        <w:pStyle w:val="myReference"/>
      </w:pPr>
      <w:r w:rsidRPr="006251BB">
        <w:rPr>
          <w:rFonts w:eastAsia="Malgun Gothic"/>
        </w:rPr>
        <w:t xml:space="preserve">RP-150428, “New WI: AWS-Extension Band for LTE”, Ericsson, Nokia Networks, Verizon Wireless, AT&amp;T, DISH Network, Rogers, </w:t>
      </w:r>
      <w:proofErr w:type="spellStart"/>
      <w:r w:rsidRPr="006251BB">
        <w:rPr>
          <w:rFonts w:eastAsia="Malgun Gothic"/>
        </w:rPr>
        <w:t>Telus</w:t>
      </w:r>
      <w:proofErr w:type="spellEnd"/>
      <w:r w:rsidRPr="006251BB">
        <w:rPr>
          <w:rFonts w:eastAsia="Malgun Gothic"/>
        </w:rPr>
        <w:t xml:space="preserve">, Samsung, Huawei, </w:t>
      </w:r>
      <w:proofErr w:type="spellStart"/>
      <w:r w:rsidRPr="006251BB">
        <w:rPr>
          <w:rFonts w:eastAsia="Malgun Gothic"/>
        </w:rPr>
        <w:t>HiSilicon</w:t>
      </w:r>
      <w:proofErr w:type="spellEnd"/>
      <w:r w:rsidRPr="006251BB">
        <w:rPr>
          <w:rFonts w:eastAsia="Malgun Gothic"/>
        </w:rPr>
        <w:t>, Alcatel-Lucent, LGE, Nokia Corporation, Intel, T-Mobile, US Cellular, 3GPP RAN#67, Shanghai, China, March 2015</w:t>
      </w:r>
    </w:p>
    <w:p w14:paraId="2B1A87E6" w14:textId="77777777" w:rsidR="00596DB6" w:rsidRPr="00596DB6" w:rsidRDefault="00596DB6" w:rsidP="00596DB6">
      <w:pPr>
        <w:pStyle w:val="myReference"/>
      </w:pPr>
      <w:r>
        <w:rPr>
          <w:rFonts w:eastAsia="Malgun Gothic"/>
        </w:rPr>
        <w:t>FCC NPRM on Promoting Interoperability in the 700 MHz Commercial Spectrum, March 21, 2012</w:t>
      </w:r>
    </w:p>
    <w:p w14:paraId="33DC3EB9" w14:textId="77777777" w:rsidR="00EC5B80" w:rsidRPr="006A352F" w:rsidRDefault="00BF6D16" w:rsidP="00BF6D16">
      <w:pPr>
        <w:pStyle w:val="myReference"/>
      </w:pPr>
      <w:r>
        <w:rPr>
          <w:rFonts w:eastAsia="Malgun Gothic"/>
        </w:rPr>
        <w:t>FCC R&amp;O on Promoting Interoperability in the 700 MHz Commercial Spectrum, October 29, 2013</w:t>
      </w:r>
    </w:p>
    <w:p w14:paraId="235F1394" w14:textId="77777777" w:rsidR="00EC5B80" w:rsidRDefault="00BF6D16" w:rsidP="00EC5B80">
      <w:pPr>
        <w:pStyle w:val="myReference"/>
      </w:pPr>
      <w:r>
        <w:rPr>
          <w:rFonts w:eastAsia="Malgun Gothic"/>
        </w:rPr>
        <w:t>R4</w:t>
      </w:r>
      <w:r w:rsidRPr="006251BB">
        <w:rPr>
          <w:rFonts w:eastAsia="Malgun Gothic"/>
        </w:rPr>
        <w:t>-</w:t>
      </w:r>
      <w:r>
        <w:rPr>
          <w:rFonts w:eastAsia="Malgun Gothic"/>
        </w:rPr>
        <w:t>151326</w:t>
      </w:r>
      <w:r w:rsidRPr="006251BB">
        <w:rPr>
          <w:rFonts w:eastAsia="Malgun Gothic"/>
        </w:rPr>
        <w:t>, “</w:t>
      </w:r>
      <w:r>
        <w:rPr>
          <w:rFonts w:eastAsia="Malgun Gothic"/>
        </w:rPr>
        <w:t>AWS band carrier aggregation</w:t>
      </w:r>
      <w:r w:rsidRPr="006251BB">
        <w:rPr>
          <w:rFonts w:eastAsia="Malgun Gothic"/>
        </w:rPr>
        <w:t xml:space="preserve">”, </w:t>
      </w:r>
      <w:r>
        <w:rPr>
          <w:rFonts w:eastAsia="Malgun Gothic"/>
        </w:rPr>
        <w:t>Nokia Networks</w:t>
      </w:r>
      <w:r w:rsidRPr="006251BB">
        <w:rPr>
          <w:rFonts w:eastAsia="Malgun Gothic"/>
        </w:rPr>
        <w:t>, 3GPP RAN</w:t>
      </w:r>
      <w:r>
        <w:rPr>
          <w:rFonts w:eastAsia="Malgun Gothic"/>
        </w:rPr>
        <w:t>4#74bis</w:t>
      </w:r>
      <w:r w:rsidRPr="006251BB">
        <w:rPr>
          <w:rFonts w:eastAsia="Malgun Gothic"/>
        </w:rPr>
        <w:t xml:space="preserve">, </w:t>
      </w:r>
      <w:r>
        <w:rPr>
          <w:rFonts w:eastAsia="Malgun Gothic"/>
        </w:rPr>
        <w:t>Rio</w:t>
      </w:r>
      <w:r w:rsidRPr="006251BB">
        <w:rPr>
          <w:rFonts w:eastAsia="Malgun Gothic"/>
        </w:rPr>
        <w:t xml:space="preserve">, </w:t>
      </w:r>
      <w:r>
        <w:rPr>
          <w:rFonts w:eastAsia="Malgun Gothic"/>
        </w:rPr>
        <w:t>Brazil</w:t>
      </w:r>
      <w:r w:rsidRPr="006251BB">
        <w:rPr>
          <w:rFonts w:eastAsia="Malgun Gothic"/>
        </w:rPr>
        <w:t xml:space="preserve">, </w:t>
      </w:r>
      <w:r>
        <w:rPr>
          <w:rFonts w:eastAsia="Malgun Gothic"/>
        </w:rPr>
        <w:t>April 2014</w:t>
      </w:r>
      <w:r w:rsidR="00EC5B80" w:rsidRPr="00EC5B80">
        <w:t xml:space="preserve"> </w:t>
      </w:r>
    </w:p>
    <w:p w14:paraId="117EDC7A" w14:textId="77777777" w:rsidR="00BF6D16" w:rsidRPr="006251BB" w:rsidRDefault="00EC5B80" w:rsidP="00BF6D16">
      <w:pPr>
        <w:pStyle w:val="myReference"/>
      </w:pPr>
      <w:r>
        <w:t>TR 36.849, “Study on Advanced Wireless Services (AWS) extension band for LTE v12.0.0”, Qualcomm, 3GPP RAN#66, Maui, U.S.A, December 2014</w:t>
      </w:r>
    </w:p>
    <w:p w14:paraId="4ADCE147" w14:textId="77777777" w:rsidR="00BF6D16" w:rsidRPr="00BF6D16" w:rsidRDefault="00BF6D16" w:rsidP="00BF6D16"/>
    <w:bookmarkEnd w:id="0"/>
    <w:bookmarkEnd w:id="1"/>
    <w:bookmarkEnd w:id="2"/>
    <w:bookmarkEnd w:id="3"/>
    <w:bookmarkEnd w:id="4"/>
    <w:bookmarkEnd w:id="5"/>
    <w:bookmarkEnd w:id="6"/>
    <w:bookmarkEnd w:id="7"/>
    <w:bookmarkEnd w:id="8"/>
    <w:bookmarkEnd w:id="9"/>
    <w:bookmarkEnd w:id="10"/>
    <w:bookmarkEnd w:id="11"/>
    <w:bookmarkEnd w:id="13"/>
    <w:p w14:paraId="16BB3A09" w14:textId="77777777"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A1DBB" w14:textId="77777777" w:rsidR="00AA0CCB" w:rsidRDefault="00AA0CCB">
      <w:r>
        <w:separator/>
      </w:r>
    </w:p>
  </w:endnote>
  <w:endnote w:type="continuationSeparator" w:id="0">
    <w:p w14:paraId="68E6934F" w14:textId="77777777" w:rsidR="00AA0CCB" w:rsidRDefault="00AA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E2B8F" w14:textId="77777777" w:rsidR="00AA0CCB" w:rsidRDefault="00AA0CCB">
      <w:r>
        <w:separator/>
      </w:r>
    </w:p>
  </w:footnote>
  <w:footnote w:type="continuationSeparator" w:id="0">
    <w:p w14:paraId="5EC76F24" w14:textId="77777777" w:rsidR="00AA0CCB" w:rsidRDefault="00AA0CC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3F1C1F9" w14:textId="77777777" w:rsidR="00AA0CCB" w:rsidRDefault="00813D18">
    <w:pPr>
      <w:pStyle w:val="Header"/>
    </w:pPr>
    <w:r>
      <w:pict w14:anchorId="2F77411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3F767F7" w14:textId="77777777" w:rsidR="00AA0CCB" w:rsidRDefault="00813D18">
    <w:pPr>
      <w:pStyle w:val="Header"/>
    </w:pPr>
    <w:r>
      <w:pict w14:anchorId="0D09E8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3A44"/>
    <w:rsid w:val="000D60B1"/>
    <w:rsid w:val="000E0A4D"/>
    <w:rsid w:val="000E1C03"/>
    <w:rsid w:val="000E351F"/>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42DC9"/>
    <w:rsid w:val="00147E3B"/>
    <w:rsid w:val="001530CA"/>
    <w:rsid w:val="00153D32"/>
    <w:rsid w:val="001637B1"/>
    <w:rsid w:val="00163E46"/>
    <w:rsid w:val="00165F94"/>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2938"/>
    <w:rsid w:val="001E377C"/>
    <w:rsid w:val="001E677F"/>
    <w:rsid w:val="001F0F88"/>
    <w:rsid w:val="001F527F"/>
    <w:rsid w:val="001F7546"/>
    <w:rsid w:val="002009FC"/>
    <w:rsid w:val="00201722"/>
    <w:rsid w:val="00203E15"/>
    <w:rsid w:val="0022262E"/>
    <w:rsid w:val="0022758F"/>
    <w:rsid w:val="00231B21"/>
    <w:rsid w:val="00232729"/>
    <w:rsid w:val="00233D0F"/>
    <w:rsid w:val="00233F02"/>
    <w:rsid w:val="00243D0F"/>
    <w:rsid w:val="00246849"/>
    <w:rsid w:val="00250CA5"/>
    <w:rsid w:val="00252F36"/>
    <w:rsid w:val="002558C3"/>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42B3"/>
    <w:rsid w:val="002F7409"/>
    <w:rsid w:val="002F78E0"/>
    <w:rsid w:val="00301213"/>
    <w:rsid w:val="003028E1"/>
    <w:rsid w:val="00305004"/>
    <w:rsid w:val="00305A7B"/>
    <w:rsid w:val="00317417"/>
    <w:rsid w:val="00320575"/>
    <w:rsid w:val="00321F5B"/>
    <w:rsid w:val="003238A2"/>
    <w:rsid w:val="00324FCE"/>
    <w:rsid w:val="00327B6B"/>
    <w:rsid w:val="00331C24"/>
    <w:rsid w:val="00332CA3"/>
    <w:rsid w:val="0033579C"/>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5DC4"/>
    <w:rsid w:val="004149D0"/>
    <w:rsid w:val="00421B35"/>
    <w:rsid w:val="00421D3B"/>
    <w:rsid w:val="00430016"/>
    <w:rsid w:val="00432A8D"/>
    <w:rsid w:val="004331CF"/>
    <w:rsid w:val="004401AB"/>
    <w:rsid w:val="004421E3"/>
    <w:rsid w:val="00443632"/>
    <w:rsid w:val="0044517D"/>
    <w:rsid w:val="00447F53"/>
    <w:rsid w:val="00453841"/>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1E9B"/>
    <w:rsid w:val="004D54F9"/>
    <w:rsid w:val="004D6138"/>
    <w:rsid w:val="004D650E"/>
    <w:rsid w:val="004E30B4"/>
    <w:rsid w:val="004E747E"/>
    <w:rsid w:val="004F3E52"/>
    <w:rsid w:val="005024E8"/>
    <w:rsid w:val="00502F4E"/>
    <w:rsid w:val="00505439"/>
    <w:rsid w:val="00510CC6"/>
    <w:rsid w:val="005137B7"/>
    <w:rsid w:val="00514975"/>
    <w:rsid w:val="0052125F"/>
    <w:rsid w:val="00522742"/>
    <w:rsid w:val="00527E84"/>
    <w:rsid w:val="00530370"/>
    <w:rsid w:val="00531634"/>
    <w:rsid w:val="005317D1"/>
    <w:rsid w:val="00553808"/>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238E"/>
    <w:rsid w:val="005B461A"/>
    <w:rsid w:val="005B71B9"/>
    <w:rsid w:val="005C42D6"/>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619E"/>
    <w:rsid w:val="00617FD9"/>
    <w:rsid w:val="00617FF4"/>
    <w:rsid w:val="00620E2C"/>
    <w:rsid w:val="00624C4C"/>
    <w:rsid w:val="006251BB"/>
    <w:rsid w:val="00627806"/>
    <w:rsid w:val="00633E0D"/>
    <w:rsid w:val="00641151"/>
    <w:rsid w:val="00642FCA"/>
    <w:rsid w:val="00643D70"/>
    <w:rsid w:val="00644C52"/>
    <w:rsid w:val="0064527B"/>
    <w:rsid w:val="00652620"/>
    <w:rsid w:val="00653965"/>
    <w:rsid w:val="00655CEB"/>
    <w:rsid w:val="00660F8E"/>
    <w:rsid w:val="00661971"/>
    <w:rsid w:val="00667B38"/>
    <w:rsid w:val="00671937"/>
    <w:rsid w:val="006730CA"/>
    <w:rsid w:val="00693412"/>
    <w:rsid w:val="00694EF6"/>
    <w:rsid w:val="006A352F"/>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1BF7"/>
    <w:rsid w:val="00781EA7"/>
    <w:rsid w:val="00795746"/>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2C28"/>
    <w:rsid w:val="00803DAC"/>
    <w:rsid w:val="00804861"/>
    <w:rsid w:val="008070CF"/>
    <w:rsid w:val="00811148"/>
    <w:rsid w:val="00813D18"/>
    <w:rsid w:val="00815C17"/>
    <w:rsid w:val="00817203"/>
    <w:rsid w:val="008208E6"/>
    <w:rsid w:val="008316A1"/>
    <w:rsid w:val="00833683"/>
    <w:rsid w:val="00833738"/>
    <w:rsid w:val="00834281"/>
    <w:rsid w:val="008345ED"/>
    <w:rsid w:val="00840BDD"/>
    <w:rsid w:val="008531EB"/>
    <w:rsid w:val="008661ED"/>
    <w:rsid w:val="00867214"/>
    <w:rsid w:val="0087125B"/>
    <w:rsid w:val="008713D6"/>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4632"/>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5E0"/>
    <w:rsid w:val="00A82D25"/>
    <w:rsid w:val="00A86EB1"/>
    <w:rsid w:val="00A936D8"/>
    <w:rsid w:val="00A96236"/>
    <w:rsid w:val="00AA0CCB"/>
    <w:rsid w:val="00AA1947"/>
    <w:rsid w:val="00AA6F9D"/>
    <w:rsid w:val="00AB21D4"/>
    <w:rsid w:val="00AC0509"/>
    <w:rsid w:val="00AD36EF"/>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2233"/>
    <w:rsid w:val="00B74AF9"/>
    <w:rsid w:val="00B77382"/>
    <w:rsid w:val="00B83A8E"/>
    <w:rsid w:val="00B85CCE"/>
    <w:rsid w:val="00B85E74"/>
    <w:rsid w:val="00B87DD2"/>
    <w:rsid w:val="00B913AA"/>
    <w:rsid w:val="00B950A7"/>
    <w:rsid w:val="00B96CCF"/>
    <w:rsid w:val="00B96F8D"/>
    <w:rsid w:val="00BA71F6"/>
    <w:rsid w:val="00BB002C"/>
    <w:rsid w:val="00BB3BE1"/>
    <w:rsid w:val="00BC1A1A"/>
    <w:rsid w:val="00BC68CB"/>
    <w:rsid w:val="00BC6BF7"/>
    <w:rsid w:val="00BD187F"/>
    <w:rsid w:val="00BD62A6"/>
    <w:rsid w:val="00BD796C"/>
    <w:rsid w:val="00BF332A"/>
    <w:rsid w:val="00BF48E6"/>
    <w:rsid w:val="00BF5735"/>
    <w:rsid w:val="00BF628B"/>
    <w:rsid w:val="00BF6D16"/>
    <w:rsid w:val="00C033A0"/>
    <w:rsid w:val="00C0752C"/>
    <w:rsid w:val="00C10E48"/>
    <w:rsid w:val="00C122AE"/>
    <w:rsid w:val="00C23CA7"/>
    <w:rsid w:val="00C35498"/>
    <w:rsid w:val="00C37868"/>
    <w:rsid w:val="00C52CE1"/>
    <w:rsid w:val="00C53A2C"/>
    <w:rsid w:val="00C54580"/>
    <w:rsid w:val="00C545C1"/>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2BC4"/>
    <w:rsid w:val="00CB371D"/>
    <w:rsid w:val="00CB735D"/>
    <w:rsid w:val="00CC0617"/>
    <w:rsid w:val="00CD03DD"/>
    <w:rsid w:val="00CD0E0C"/>
    <w:rsid w:val="00CD55B8"/>
    <w:rsid w:val="00CD59EA"/>
    <w:rsid w:val="00CD7F45"/>
    <w:rsid w:val="00CE0C17"/>
    <w:rsid w:val="00CF0A2D"/>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C96"/>
    <w:rsid w:val="00DE44D0"/>
    <w:rsid w:val="00DF39B6"/>
    <w:rsid w:val="00DF47F2"/>
    <w:rsid w:val="00DF604D"/>
    <w:rsid w:val="00E03784"/>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4482"/>
    <w:rsid w:val="00E7716C"/>
    <w:rsid w:val="00E853F3"/>
    <w:rsid w:val="00E855FB"/>
    <w:rsid w:val="00E916D2"/>
    <w:rsid w:val="00E93EA5"/>
    <w:rsid w:val="00E95806"/>
    <w:rsid w:val="00EA0FFE"/>
    <w:rsid w:val="00EA1910"/>
    <w:rsid w:val="00EA5478"/>
    <w:rsid w:val="00EA59D3"/>
    <w:rsid w:val="00EB2A2A"/>
    <w:rsid w:val="00EB70B9"/>
    <w:rsid w:val="00EC4961"/>
    <w:rsid w:val="00EC5B80"/>
    <w:rsid w:val="00ED1119"/>
    <w:rsid w:val="00ED24E8"/>
    <w:rsid w:val="00EE0916"/>
    <w:rsid w:val="00EE18A3"/>
    <w:rsid w:val="00EE1B51"/>
    <w:rsid w:val="00EE2F19"/>
    <w:rsid w:val="00EE33FF"/>
    <w:rsid w:val="00EF04F8"/>
    <w:rsid w:val="00EF0661"/>
    <w:rsid w:val="00EF1B9D"/>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46B4C"/>
    <w:rsid w:val="00F54322"/>
    <w:rsid w:val="00F547CE"/>
    <w:rsid w:val="00F60DEA"/>
    <w:rsid w:val="00F64536"/>
    <w:rsid w:val="00F64DF6"/>
    <w:rsid w:val="00F67B35"/>
    <w:rsid w:val="00F70967"/>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70807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6</TotalTime>
  <Pages>2</Pages>
  <Words>1046</Words>
  <Characters>5964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6997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3</cp:revision>
  <cp:lastPrinted>2007-09-06T19:59:00Z</cp:lastPrinted>
  <dcterms:created xsi:type="dcterms:W3CDTF">2015-08-13T18:20:00Z</dcterms:created>
  <dcterms:modified xsi:type="dcterms:W3CDTF">2015-08-17T14:47:00Z</dcterms:modified>
</cp:coreProperties>
</file>